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971C26" w14:textId="77777777" w:rsidR="00874E8B" w:rsidRPr="00874E8B" w:rsidRDefault="00874E8B" w:rsidP="00874E8B">
      <w:pPr>
        <w:pBdr>
          <w:top w:val="single" w:sz="2" w:space="0" w:color="D3D7DE"/>
          <w:left w:val="single" w:sz="2" w:space="0" w:color="D3D7DE"/>
          <w:bottom w:val="single" w:sz="2" w:space="0" w:color="D3D7DE"/>
          <w:right w:val="single" w:sz="2" w:space="0" w:color="D3D7DE"/>
        </w:pBdr>
        <w:shd w:val="clear" w:color="auto" w:fill="FFFFFF"/>
        <w:spacing w:before="100" w:beforeAutospacing="1" w:after="100" w:afterAutospacing="1" w:line="240" w:lineRule="auto"/>
        <w:outlineLvl w:val="1"/>
        <w:rPr>
          <w:rFonts w:ascii="Titillium Web" w:eastAsia="Times New Roman" w:hAnsi="Titillium Web" w:cs="Times New Roman"/>
          <w:b/>
          <w:bCs/>
          <w:color w:val="1A1A1A"/>
          <w:kern w:val="0"/>
          <w:sz w:val="36"/>
          <w:szCs w:val="36"/>
          <w:lang w:eastAsia="it-IT"/>
          <w14:ligatures w14:val="none"/>
        </w:rPr>
      </w:pPr>
      <w:r w:rsidRPr="00874E8B">
        <w:rPr>
          <w:rFonts w:ascii="Titillium Web" w:eastAsia="Times New Roman" w:hAnsi="Titillium Web" w:cs="Times New Roman"/>
          <w:b/>
          <w:bCs/>
          <w:color w:val="1A1A1A"/>
          <w:kern w:val="0"/>
          <w:sz w:val="36"/>
          <w:szCs w:val="36"/>
          <w:lang w:eastAsia="it-IT"/>
          <w14:ligatures w14:val="none"/>
        </w:rPr>
        <w:t>Referendum 2025: voto per corrispondenza degli elettori temporaneamente residenti all'estero</w:t>
      </w:r>
    </w:p>
    <w:p w14:paraId="1C1FA237" w14:textId="77777777" w:rsidR="00874E8B" w:rsidRPr="00874E8B" w:rsidRDefault="00874E8B" w:rsidP="00874E8B">
      <w:pPr>
        <w:pBdr>
          <w:top w:val="single" w:sz="2" w:space="0" w:color="D3D7DE"/>
          <w:left w:val="single" w:sz="2" w:space="0" w:color="D3D7DE"/>
          <w:bottom w:val="single" w:sz="2" w:space="0" w:color="D3D7DE"/>
          <w:right w:val="single" w:sz="2" w:space="0" w:color="D3D7DE"/>
        </w:pBdr>
        <w:shd w:val="clear" w:color="auto" w:fill="FFFFFF"/>
        <w:spacing w:before="100" w:beforeAutospacing="1" w:after="100" w:afterAutospacing="1" w:line="240" w:lineRule="auto"/>
        <w:rPr>
          <w:rFonts w:ascii="Titillium Web" w:eastAsia="Times New Roman" w:hAnsi="Titillium Web" w:cs="Times New Roman"/>
          <w:color w:val="1A1A1A"/>
          <w:kern w:val="0"/>
          <w:sz w:val="27"/>
          <w:szCs w:val="27"/>
          <w:lang w:eastAsia="it-IT"/>
          <w14:ligatures w14:val="none"/>
        </w:rPr>
      </w:pPr>
      <w:r w:rsidRPr="00874E8B">
        <w:rPr>
          <w:rFonts w:ascii="Titillium Web" w:eastAsia="Times New Roman" w:hAnsi="Titillium Web" w:cs="Times New Roman"/>
          <w:color w:val="1A1A1A"/>
          <w:kern w:val="0"/>
          <w:sz w:val="27"/>
          <w:szCs w:val="27"/>
          <w:lang w:eastAsia="it-IT"/>
          <w14:ligatures w14:val="none"/>
        </w:rPr>
        <w:t>Dal </w:t>
      </w:r>
      <w:proofErr w:type="spellStart"/>
      <w:r w:rsidRPr="00874E8B">
        <w:rPr>
          <w:rFonts w:ascii="Titillium Web" w:eastAsia="Times New Roman" w:hAnsi="Titillium Web" w:cs="Times New Roman"/>
          <w:color w:val="1A1A1A"/>
          <w:kern w:val="0"/>
          <w:sz w:val="27"/>
          <w:szCs w:val="27"/>
          <w:lang w:eastAsia="it-IT"/>
          <w14:ligatures w14:val="none"/>
        </w:rPr>
        <w:fldChar w:fldCharType="begin"/>
      </w:r>
      <w:r w:rsidRPr="00874E8B">
        <w:rPr>
          <w:rFonts w:ascii="Titillium Web" w:eastAsia="Times New Roman" w:hAnsi="Titillium Web" w:cs="Times New Roman"/>
          <w:color w:val="1A1A1A"/>
          <w:kern w:val="0"/>
          <w:sz w:val="27"/>
          <w:szCs w:val="27"/>
          <w:lang w:eastAsia="it-IT"/>
          <w14:ligatures w14:val="none"/>
        </w:rPr>
        <w:instrText>HYPERLINK "https://www.progettoomnia.it/memoweb/2054-memoweb-n70-del-10042025" \o "Vai al Memoweb"</w:instrText>
      </w:r>
      <w:r w:rsidRPr="00874E8B">
        <w:rPr>
          <w:rFonts w:ascii="Titillium Web" w:eastAsia="Times New Roman" w:hAnsi="Titillium Web" w:cs="Times New Roman"/>
          <w:color w:val="1A1A1A"/>
          <w:kern w:val="0"/>
          <w:sz w:val="27"/>
          <w:szCs w:val="27"/>
          <w:lang w:eastAsia="it-IT"/>
          <w14:ligatures w14:val="none"/>
        </w:rPr>
      </w:r>
      <w:r w:rsidRPr="00874E8B">
        <w:rPr>
          <w:rFonts w:ascii="Titillium Web" w:eastAsia="Times New Roman" w:hAnsi="Titillium Web" w:cs="Times New Roman"/>
          <w:color w:val="1A1A1A"/>
          <w:kern w:val="0"/>
          <w:sz w:val="27"/>
          <w:szCs w:val="27"/>
          <w:lang w:eastAsia="it-IT"/>
          <w14:ligatures w14:val="none"/>
        </w:rPr>
        <w:fldChar w:fldCharType="separate"/>
      </w:r>
      <w:r w:rsidRPr="00874E8B">
        <w:rPr>
          <w:rFonts w:ascii="Titillium Web" w:eastAsia="Times New Roman" w:hAnsi="Titillium Web" w:cs="Times New Roman"/>
          <w:b/>
          <w:bCs/>
          <w:color w:val="50A6ED"/>
          <w:kern w:val="0"/>
          <w:sz w:val="27"/>
          <w:szCs w:val="27"/>
          <w:u w:val="single"/>
          <w:bdr w:val="single" w:sz="2" w:space="0" w:color="D3D7DE" w:frame="1"/>
          <w:lang w:eastAsia="it-IT"/>
          <w14:ligatures w14:val="none"/>
        </w:rPr>
        <w:t>Memoweb</w:t>
      </w:r>
      <w:proofErr w:type="spellEnd"/>
      <w:r w:rsidRPr="00874E8B">
        <w:rPr>
          <w:rFonts w:ascii="Titillium Web" w:eastAsia="Times New Roman" w:hAnsi="Titillium Web" w:cs="Times New Roman"/>
          <w:b/>
          <w:bCs/>
          <w:color w:val="50A6ED"/>
          <w:kern w:val="0"/>
          <w:sz w:val="27"/>
          <w:szCs w:val="27"/>
          <w:u w:val="single"/>
          <w:bdr w:val="single" w:sz="2" w:space="0" w:color="D3D7DE" w:frame="1"/>
          <w:lang w:eastAsia="it-IT"/>
          <w14:ligatures w14:val="none"/>
        </w:rPr>
        <w:t xml:space="preserve"> n.70 del 10/04/2025</w:t>
      </w:r>
      <w:r w:rsidRPr="00874E8B">
        <w:rPr>
          <w:rFonts w:ascii="Titillium Web" w:eastAsia="Times New Roman" w:hAnsi="Titillium Web" w:cs="Times New Roman"/>
          <w:color w:val="1A1A1A"/>
          <w:kern w:val="0"/>
          <w:sz w:val="27"/>
          <w:szCs w:val="27"/>
          <w:lang w:eastAsia="it-IT"/>
          <w14:ligatures w14:val="none"/>
        </w:rPr>
        <w:fldChar w:fldCharType="end"/>
      </w:r>
    </w:p>
    <w:p w14:paraId="049EEB9B" w14:textId="77777777" w:rsidR="00874E8B" w:rsidRPr="00874E8B" w:rsidRDefault="00874E8B" w:rsidP="00874E8B">
      <w:pPr>
        <w:shd w:val="clear" w:color="auto" w:fill="FFFFFF"/>
        <w:spacing w:after="0" w:line="240" w:lineRule="auto"/>
        <w:rPr>
          <w:rFonts w:ascii="Titillium Web" w:eastAsia="Times New Roman" w:hAnsi="Titillium Web" w:cs="Times New Roman"/>
          <w:b/>
          <w:bCs/>
          <w:color w:val="374151"/>
          <w:kern w:val="0"/>
          <w:sz w:val="27"/>
          <w:szCs w:val="27"/>
          <w:lang w:eastAsia="it-IT"/>
          <w14:ligatures w14:val="none"/>
        </w:rPr>
      </w:pPr>
      <w:r w:rsidRPr="00874E8B">
        <w:rPr>
          <w:rFonts w:ascii="Titillium Web" w:eastAsia="Times New Roman" w:hAnsi="Titillium Web" w:cs="Times New Roman"/>
          <w:b/>
          <w:bCs/>
          <w:color w:val="374151"/>
          <w:kern w:val="0"/>
          <w:sz w:val="27"/>
          <w:szCs w:val="27"/>
          <w:lang w:eastAsia="it-IT"/>
          <w14:ligatures w14:val="none"/>
        </w:rPr>
        <w:t>Ministero dell'Interno: l'opzione di voto per corrispondenza degli elettori temporaneamente all'estero deve pervenire al comune di iscrizione nelle liste elettorali entro il 7 maggio 2025</w:t>
      </w:r>
    </w:p>
    <w:p w14:paraId="5FC141B1" w14:textId="77777777" w:rsidR="00874E8B" w:rsidRPr="00874E8B" w:rsidRDefault="00874E8B" w:rsidP="00874E8B">
      <w:pPr>
        <w:pBdr>
          <w:top w:val="single" w:sz="2" w:space="0" w:color="D3D7DE"/>
          <w:left w:val="single" w:sz="2" w:space="0" w:color="D3D7DE"/>
          <w:bottom w:val="single" w:sz="2" w:space="0" w:color="D3D7DE"/>
          <w:right w:val="single" w:sz="2" w:space="0" w:color="D3D7DE"/>
        </w:pBdr>
        <w:shd w:val="clear" w:color="auto" w:fill="FFFFFF"/>
        <w:spacing w:before="300" w:after="300" w:line="240" w:lineRule="auto"/>
        <w:rPr>
          <w:rFonts w:ascii="Titillium Web" w:eastAsia="Times New Roman" w:hAnsi="Titillium Web" w:cs="Times New Roman"/>
          <w:color w:val="374151"/>
          <w:kern w:val="0"/>
          <w:sz w:val="27"/>
          <w:szCs w:val="27"/>
          <w:lang w:eastAsia="it-IT"/>
          <w14:ligatures w14:val="none"/>
        </w:rPr>
      </w:pPr>
      <w:r w:rsidRPr="00874E8B">
        <w:rPr>
          <w:rFonts w:ascii="Titillium Web" w:eastAsia="Times New Roman" w:hAnsi="Titillium Web" w:cs="Times New Roman"/>
          <w:color w:val="374151"/>
          <w:kern w:val="0"/>
          <w:sz w:val="27"/>
          <w:szCs w:val="27"/>
          <w:lang w:eastAsia="it-IT"/>
          <w14:ligatures w14:val="none"/>
        </w:rPr>
        <w:t>Con una </w:t>
      </w:r>
      <w:hyperlink r:id="rId5" w:tgtFrame="_blank" w:history="1">
        <w:r w:rsidRPr="00874E8B">
          <w:rPr>
            <w:rFonts w:ascii="Titillium Web" w:eastAsia="Times New Roman" w:hAnsi="Titillium Web" w:cs="Times New Roman"/>
            <w:color w:val="50A6ED"/>
            <w:kern w:val="0"/>
            <w:sz w:val="27"/>
            <w:szCs w:val="27"/>
            <w:u w:val="single"/>
            <w:bdr w:val="single" w:sz="2" w:space="0" w:color="D3D7DE" w:frame="1"/>
            <w:lang w:eastAsia="it-IT"/>
            <w14:ligatures w14:val="none"/>
          </w:rPr>
          <w:t>nota pubblicata l’8 aprile 2025</w:t>
        </w:r>
      </w:hyperlink>
      <w:r w:rsidRPr="00874E8B">
        <w:rPr>
          <w:rFonts w:ascii="Titillium Web" w:eastAsia="Times New Roman" w:hAnsi="Titillium Web" w:cs="Times New Roman"/>
          <w:color w:val="374151"/>
          <w:kern w:val="0"/>
          <w:sz w:val="27"/>
          <w:szCs w:val="27"/>
          <w:lang w:eastAsia="it-IT"/>
          <w14:ligatures w14:val="none"/>
        </w:rPr>
        <w:t>, i Servizi Elettorali del Viminale ricordano che l’</w:t>
      </w:r>
      <w:hyperlink r:id="rId6" w:tgtFrame="_blank" w:history="1">
        <w:r w:rsidRPr="00874E8B">
          <w:rPr>
            <w:rFonts w:ascii="Titillium Web" w:eastAsia="Times New Roman" w:hAnsi="Titillium Web" w:cs="Times New Roman"/>
            <w:color w:val="50A6ED"/>
            <w:kern w:val="0"/>
            <w:sz w:val="27"/>
            <w:szCs w:val="27"/>
            <w:u w:val="single"/>
            <w:bdr w:val="single" w:sz="2" w:space="0" w:color="D3D7DE" w:frame="1"/>
            <w:lang w:eastAsia="it-IT"/>
            <w14:ligatures w14:val="none"/>
          </w:rPr>
          <w:t>art. 4-bis, comma 2, della legge 459/2001</w:t>
        </w:r>
      </w:hyperlink>
      <w:r w:rsidRPr="00874E8B">
        <w:rPr>
          <w:rFonts w:ascii="Titillium Web" w:eastAsia="Times New Roman" w:hAnsi="Titillium Web" w:cs="Times New Roman"/>
          <w:color w:val="374151"/>
          <w:kern w:val="0"/>
          <w:sz w:val="27"/>
          <w:szCs w:val="27"/>
          <w:lang w:eastAsia="it-IT"/>
          <w14:ligatures w14:val="none"/>
        </w:rPr>
        <w:t xml:space="preserve">, modificato in ultimo dall’art.6 comma 2 </w:t>
      </w:r>
      <w:proofErr w:type="spellStart"/>
      <w:r w:rsidRPr="00874E8B">
        <w:rPr>
          <w:rFonts w:ascii="Titillium Web" w:eastAsia="Times New Roman" w:hAnsi="Titillium Web" w:cs="Times New Roman"/>
          <w:color w:val="374151"/>
          <w:kern w:val="0"/>
          <w:sz w:val="27"/>
          <w:szCs w:val="27"/>
          <w:lang w:eastAsia="it-IT"/>
          <w14:ligatures w14:val="none"/>
        </w:rPr>
        <w:t>lett.a</w:t>
      </w:r>
      <w:proofErr w:type="spellEnd"/>
      <w:r w:rsidRPr="00874E8B">
        <w:rPr>
          <w:rFonts w:ascii="Titillium Web" w:eastAsia="Times New Roman" w:hAnsi="Titillium Web" w:cs="Times New Roman"/>
          <w:color w:val="374151"/>
          <w:kern w:val="0"/>
          <w:sz w:val="27"/>
          <w:szCs w:val="27"/>
          <w:lang w:eastAsia="it-IT"/>
          <w14:ligatures w14:val="none"/>
        </w:rPr>
        <w:t>) della legge 165/2017, stabilisce che i cittadini italiani </w:t>
      </w:r>
      <w:r w:rsidRPr="00874E8B">
        <w:rPr>
          <w:rFonts w:ascii="Titillium Web" w:eastAsia="Times New Roman" w:hAnsi="Titillium Web" w:cs="Times New Roman"/>
          <w:b/>
          <w:bCs/>
          <w:color w:val="111827"/>
          <w:kern w:val="0"/>
          <w:sz w:val="27"/>
          <w:szCs w:val="27"/>
          <w:bdr w:val="single" w:sz="2" w:space="0" w:color="D3D7DE" w:frame="1"/>
          <w:lang w:eastAsia="it-IT"/>
          <w14:ligatures w14:val="none"/>
        </w:rPr>
        <w:t>temporaneamente all’estero</w:t>
      </w:r>
      <w:r w:rsidRPr="00874E8B">
        <w:rPr>
          <w:rFonts w:ascii="Titillium Web" w:eastAsia="Times New Roman" w:hAnsi="Titillium Web" w:cs="Times New Roman"/>
          <w:color w:val="374151"/>
          <w:kern w:val="0"/>
          <w:sz w:val="27"/>
          <w:szCs w:val="27"/>
          <w:lang w:eastAsia="it-IT"/>
          <w14:ligatures w14:val="none"/>
        </w:rPr>
        <w:t> possono votare per corrispondenza </w:t>
      </w:r>
      <w:r w:rsidRPr="00874E8B">
        <w:rPr>
          <w:rFonts w:ascii="Titillium Web" w:eastAsia="Times New Roman" w:hAnsi="Titillium Web" w:cs="Times New Roman"/>
          <w:b/>
          <w:bCs/>
          <w:color w:val="111827"/>
          <w:kern w:val="0"/>
          <w:sz w:val="27"/>
          <w:szCs w:val="27"/>
          <w:bdr w:val="single" w:sz="2" w:space="0" w:color="D3D7DE" w:frame="1"/>
          <w:lang w:eastAsia="it-IT"/>
          <w14:ligatures w14:val="none"/>
        </w:rPr>
        <w:t>presentando un’apposita dichiarazione al proprio comune</w:t>
      </w:r>
      <w:r w:rsidRPr="00874E8B">
        <w:rPr>
          <w:rFonts w:ascii="Titillium Web" w:eastAsia="Times New Roman" w:hAnsi="Titillium Web" w:cs="Times New Roman"/>
          <w:color w:val="374151"/>
          <w:kern w:val="0"/>
          <w:sz w:val="27"/>
          <w:szCs w:val="27"/>
          <w:lang w:eastAsia="it-IT"/>
          <w14:ligatures w14:val="none"/>
        </w:rPr>
        <w:t> di iscrizione elettorale </w:t>
      </w:r>
      <w:r w:rsidRPr="00874E8B">
        <w:rPr>
          <w:rFonts w:ascii="Titillium Web" w:eastAsia="Times New Roman" w:hAnsi="Titillium Web" w:cs="Times New Roman"/>
          <w:b/>
          <w:bCs/>
          <w:color w:val="111827"/>
          <w:kern w:val="0"/>
          <w:sz w:val="27"/>
          <w:szCs w:val="27"/>
          <w:bdr w:val="single" w:sz="2" w:space="0" w:color="D3D7DE" w:frame="1"/>
          <w:lang w:eastAsia="it-IT"/>
          <w14:ligatures w14:val="none"/>
        </w:rPr>
        <w:t>entro 32 giorni dalla data del voto</w:t>
      </w:r>
      <w:r w:rsidRPr="00874E8B">
        <w:rPr>
          <w:rFonts w:ascii="Titillium Web" w:eastAsia="Times New Roman" w:hAnsi="Titillium Web" w:cs="Times New Roman"/>
          <w:color w:val="374151"/>
          <w:kern w:val="0"/>
          <w:sz w:val="27"/>
          <w:szCs w:val="27"/>
          <w:lang w:eastAsia="it-IT"/>
          <w14:ligatures w14:val="none"/>
        </w:rPr>
        <w:t>, ovvero </w:t>
      </w:r>
      <w:r w:rsidRPr="00874E8B">
        <w:rPr>
          <w:rFonts w:ascii="Titillium Web" w:eastAsia="Times New Roman" w:hAnsi="Titillium Web" w:cs="Times New Roman"/>
          <w:b/>
          <w:bCs/>
          <w:color w:val="111827"/>
          <w:kern w:val="0"/>
          <w:sz w:val="27"/>
          <w:szCs w:val="27"/>
          <w:bdr w:val="single" w:sz="2" w:space="0" w:color="D3D7DE" w:frame="1"/>
          <w:lang w:eastAsia="it-IT"/>
          <w14:ligatures w14:val="none"/>
        </w:rPr>
        <w:t>entro il 7 maggio 2025</w:t>
      </w:r>
      <w:r w:rsidRPr="00874E8B">
        <w:rPr>
          <w:rFonts w:ascii="Titillium Web" w:eastAsia="Times New Roman" w:hAnsi="Titillium Web" w:cs="Times New Roman"/>
          <w:color w:val="374151"/>
          <w:kern w:val="0"/>
          <w:sz w:val="27"/>
          <w:szCs w:val="27"/>
          <w:lang w:eastAsia="it-IT"/>
          <w14:ligatures w14:val="none"/>
        </w:rPr>
        <w:t> per la prossima consultazione referendaria (8-9 giugno 2025).</w:t>
      </w:r>
    </w:p>
    <w:p w14:paraId="14021FD6" w14:textId="77777777" w:rsidR="00874E8B" w:rsidRPr="00874E8B" w:rsidRDefault="00874E8B" w:rsidP="00874E8B">
      <w:pPr>
        <w:pBdr>
          <w:top w:val="single" w:sz="2" w:space="0" w:color="D3D7DE"/>
          <w:left w:val="single" w:sz="2" w:space="0" w:color="D3D7DE"/>
          <w:bottom w:val="single" w:sz="2" w:space="0" w:color="D3D7DE"/>
          <w:right w:val="single" w:sz="2" w:space="0" w:color="D3D7DE"/>
        </w:pBdr>
        <w:shd w:val="clear" w:color="auto" w:fill="FFFFFF"/>
        <w:spacing w:before="480" w:after="240" w:line="240" w:lineRule="auto"/>
        <w:outlineLvl w:val="1"/>
        <w:rPr>
          <w:rFonts w:ascii="Titillium Web" w:eastAsia="Times New Roman" w:hAnsi="Titillium Web" w:cs="Times New Roman"/>
          <w:b/>
          <w:bCs/>
          <w:color w:val="111827"/>
          <w:kern w:val="0"/>
          <w:sz w:val="41"/>
          <w:szCs w:val="41"/>
          <w:lang w:eastAsia="it-IT"/>
          <w14:ligatures w14:val="none"/>
        </w:rPr>
      </w:pPr>
      <w:r w:rsidRPr="00874E8B">
        <w:rPr>
          <w:rFonts w:ascii="Titillium Web" w:eastAsia="Times New Roman" w:hAnsi="Titillium Web" w:cs="Times New Roman"/>
          <w:b/>
          <w:bCs/>
          <w:color w:val="111827"/>
          <w:kern w:val="0"/>
          <w:sz w:val="41"/>
          <w:szCs w:val="41"/>
          <w:lang w:eastAsia="it-IT"/>
          <w14:ligatures w14:val="none"/>
        </w:rPr>
        <w:t>Modalità di invio richiesta</w:t>
      </w:r>
    </w:p>
    <w:p w14:paraId="308C03E0" w14:textId="77777777" w:rsidR="00874E8B" w:rsidRPr="00874E8B" w:rsidRDefault="00874E8B" w:rsidP="00874E8B">
      <w:pPr>
        <w:pBdr>
          <w:top w:val="single" w:sz="2" w:space="0" w:color="D3D7DE"/>
          <w:left w:val="single" w:sz="2" w:space="0" w:color="D3D7DE"/>
          <w:bottom w:val="single" w:sz="2" w:space="0" w:color="D3D7DE"/>
          <w:right w:val="single" w:sz="2" w:space="0" w:color="D3D7DE"/>
        </w:pBdr>
        <w:shd w:val="clear" w:color="auto" w:fill="FFFFFF"/>
        <w:spacing w:after="300" w:line="240" w:lineRule="auto"/>
        <w:rPr>
          <w:rFonts w:ascii="Titillium Web" w:eastAsia="Times New Roman" w:hAnsi="Titillium Web" w:cs="Times New Roman"/>
          <w:color w:val="374151"/>
          <w:kern w:val="0"/>
          <w:sz w:val="27"/>
          <w:szCs w:val="27"/>
          <w:lang w:eastAsia="it-IT"/>
          <w14:ligatures w14:val="none"/>
        </w:rPr>
      </w:pPr>
      <w:r w:rsidRPr="00874E8B">
        <w:rPr>
          <w:rFonts w:ascii="Titillium Web" w:eastAsia="Times New Roman" w:hAnsi="Titillium Web" w:cs="Times New Roman"/>
          <w:color w:val="374151"/>
          <w:kern w:val="0"/>
          <w:sz w:val="27"/>
          <w:szCs w:val="27"/>
          <w:lang w:eastAsia="it-IT"/>
          <w14:ligatures w14:val="none"/>
        </w:rPr>
        <w:t>La richiesta può essere inviata:</w:t>
      </w:r>
    </w:p>
    <w:p w14:paraId="067D6585" w14:textId="77777777" w:rsidR="00874E8B" w:rsidRPr="00874E8B" w:rsidRDefault="00874E8B" w:rsidP="00874E8B">
      <w:pPr>
        <w:numPr>
          <w:ilvl w:val="0"/>
          <w:numId w:val="1"/>
        </w:numPr>
        <w:pBdr>
          <w:top w:val="single" w:sz="2" w:space="0" w:color="D3D7DE"/>
          <w:left w:val="single" w:sz="2" w:space="0" w:color="D3D7DE"/>
          <w:bottom w:val="single" w:sz="2" w:space="0" w:color="D3D7DE"/>
          <w:right w:val="single" w:sz="2" w:space="0" w:color="D3D7DE"/>
        </w:pBdr>
        <w:shd w:val="clear" w:color="auto" w:fill="FFFFFF"/>
        <w:spacing w:before="300" w:after="300" w:line="240" w:lineRule="auto"/>
        <w:rPr>
          <w:rFonts w:ascii="Titillium Web" w:eastAsia="Times New Roman" w:hAnsi="Titillium Web" w:cs="Times New Roman"/>
          <w:color w:val="374151"/>
          <w:kern w:val="0"/>
          <w:sz w:val="27"/>
          <w:szCs w:val="27"/>
          <w:lang w:eastAsia="it-IT"/>
          <w14:ligatures w14:val="none"/>
        </w:rPr>
      </w:pPr>
      <w:r w:rsidRPr="00874E8B">
        <w:rPr>
          <w:rFonts w:ascii="Titillium Web" w:eastAsia="Times New Roman" w:hAnsi="Titillium Web" w:cs="Times New Roman"/>
          <w:b/>
          <w:bCs/>
          <w:color w:val="111827"/>
          <w:kern w:val="0"/>
          <w:sz w:val="27"/>
          <w:szCs w:val="27"/>
          <w:bdr w:val="single" w:sz="2" w:space="0" w:color="D3D7DE" w:frame="1"/>
          <w:lang w:eastAsia="it-IT"/>
          <w14:ligatures w14:val="none"/>
        </w:rPr>
        <w:t>per posta ordinaria o elettronica</w:t>
      </w:r>
      <w:r w:rsidRPr="00874E8B">
        <w:rPr>
          <w:rFonts w:ascii="Titillium Web" w:eastAsia="Times New Roman" w:hAnsi="Titillium Web" w:cs="Times New Roman"/>
          <w:color w:val="374151"/>
          <w:kern w:val="0"/>
          <w:sz w:val="27"/>
          <w:szCs w:val="27"/>
          <w:lang w:eastAsia="it-IT"/>
          <w14:ligatures w14:val="none"/>
        </w:rPr>
        <w:t> (anche non certificata),</w:t>
      </w:r>
    </w:p>
    <w:p w14:paraId="13AC5B30" w14:textId="77777777" w:rsidR="00874E8B" w:rsidRPr="00874E8B" w:rsidRDefault="00874E8B" w:rsidP="00874E8B">
      <w:pPr>
        <w:numPr>
          <w:ilvl w:val="0"/>
          <w:numId w:val="1"/>
        </w:numPr>
        <w:pBdr>
          <w:top w:val="single" w:sz="2" w:space="0" w:color="D3D7DE"/>
          <w:left w:val="single" w:sz="2" w:space="0" w:color="D3D7DE"/>
          <w:bottom w:val="single" w:sz="2" w:space="0" w:color="D3D7DE"/>
          <w:right w:val="single" w:sz="2" w:space="0" w:color="D3D7DE"/>
        </w:pBdr>
        <w:shd w:val="clear" w:color="auto" w:fill="FFFFFF"/>
        <w:spacing w:before="300" w:after="300" w:line="240" w:lineRule="auto"/>
        <w:rPr>
          <w:rFonts w:ascii="Titillium Web" w:eastAsia="Times New Roman" w:hAnsi="Titillium Web" w:cs="Times New Roman"/>
          <w:color w:val="374151"/>
          <w:kern w:val="0"/>
          <w:sz w:val="27"/>
          <w:szCs w:val="27"/>
          <w:lang w:eastAsia="it-IT"/>
          <w14:ligatures w14:val="none"/>
        </w:rPr>
      </w:pPr>
      <w:r w:rsidRPr="00874E8B">
        <w:rPr>
          <w:rFonts w:ascii="Titillium Web" w:eastAsia="Times New Roman" w:hAnsi="Titillium Web" w:cs="Times New Roman"/>
          <w:b/>
          <w:bCs/>
          <w:color w:val="111827"/>
          <w:kern w:val="0"/>
          <w:sz w:val="27"/>
          <w:szCs w:val="27"/>
          <w:bdr w:val="single" w:sz="2" w:space="0" w:color="D3D7DE" w:frame="1"/>
          <w:lang w:eastAsia="it-IT"/>
          <w14:ligatures w14:val="none"/>
        </w:rPr>
        <w:t>oppure consegnata a mano</w:t>
      </w:r>
      <w:r w:rsidRPr="00874E8B">
        <w:rPr>
          <w:rFonts w:ascii="Titillium Web" w:eastAsia="Times New Roman" w:hAnsi="Titillium Web" w:cs="Times New Roman"/>
          <w:color w:val="374151"/>
          <w:kern w:val="0"/>
          <w:sz w:val="27"/>
          <w:szCs w:val="27"/>
          <w:lang w:eastAsia="it-IT"/>
          <w14:ligatures w14:val="none"/>
        </w:rPr>
        <w:t>, anche da terzi.</w:t>
      </w:r>
    </w:p>
    <w:p w14:paraId="5632F8EF" w14:textId="77777777" w:rsidR="00874E8B" w:rsidRPr="00874E8B" w:rsidRDefault="00874E8B" w:rsidP="00874E8B">
      <w:pPr>
        <w:pBdr>
          <w:top w:val="single" w:sz="2" w:space="0" w:color="D3D7DE"/>
          <w:left w:val="single" w:sz="2" w:space="0" w:color="D3D7DE"/>
          <w:bottom w:val="single" w:sz="2" w:space="0" w:color="D3D7DE"/>
          <w:right w:val="single" w:sz="2" w:space="0" w:color="D3D7DE"/>
        </w:pBdr>
        <w:shd w:val="clear" w:color="auto" w:fill="FFFFFF"/>
        <w:spacing w:before="300" w:after="300" w:line="240" w:lineRule="auto"/>
        <w:rPr>
          <w:rFonts w:ascii="Titillium Web" w:eastAsia="Times New Roman" w:hAnsi="Titillium Web" w:cs="Times New Roman"/>
          <w:color w:val="374151"/>
          <w:kern w:val="0"/>
          <w:sz w:val="27"/>
          <w:szCs w:val="27"/>
          <w:lang w:eastAsia="it-IT"/>
          <w14:ligatures w14:val="none"/>
        </w:rPr>
      </w:pPr>
      <w:r w:rsidRPr="00874E8B">
        <w:rPr>
          <w:rFonts w:ascii="Titillium Web" w:eastAsia="Times New Roman" w:hAnsi="Titillium Web" w:cs="Times New Roman"/>
          <w:color w:val="374151"/>
          <w:kern w:val="0"/>
          <w:sz w:val="27"/>
          <w:szCs w:val="27"/>
          <w:lang w:eastAsia="it-IT"/>
          <w14:ligatures w14:val="none"/>
        </w:rPr>
        <w:t>La dichiarazione deve:</w:t>
      </w:r>
    </w:p>
    <w:p w14:paraId="7C84C103" w14:textId="77777777" w:rsidR="00874E8B" w:rsidRPr="00874E8B" w:rsidRDefault="00874E8B" w:rsidP="00874E8B">
      <w:pPr>
        <w:numPr>
          <w:ilvl w:val="0"/>
          <w:numId w:val="2"/>
        </w:numPr>
        <w:pBdr>
          <w:top w:val="single" w:sz="2" w:space="0" w:color="D3D7DE"/>
          <w:left w:val="single" w:sz="2" w:space="0" w:color="D3D7DE"/>
          <w:bottom w:val="single" w:sz="2" w:space="0" w:color="D3D7DE"/>
          <w:right w:val="single" w:sz="2" w:space="0" w:color="D3D7DE"/>
        </w:pBdr>
        <w:shd w:val="clear" w:color="auto" w:fill="FFFFFF"/>
        <w:spacing w:before="300" w:after="300" w:line="240" w:lineRule="auto"/>
        <w:rPr>
          <w:rFonts w:ascii="Titillium Web" w:eastAsia="Times New Roman" w:hAnsi="Titillium Web" w:cs="Times New Roman"/>
          <w:color w:val="374151"/>
          <w:kern w:val="0"/>
          <w:sz w:val="27"/>
          <w:szCs w:val="27"/>
          <w:lang w:eastAsia="it-IT"/>
          <w14:ligatures w14:val="none"/>
        </w:rPr>
      </w:pPr>
      <w:r w:rsidRPr="00874E8B">
        <w:rPr>
          <w:rFonts w:ascii="Titillium Web" w:eastAsia="Times New Roman" w:hAnsi="Titillium Web" w:cs="Times New Roman"/>
          <w:color w:val="374151"/>
          <w:kern w:val="0"/>
          <w:sz w:val="27"/>
          <w:szCs w:val="27"/>
          <w:lang w:eastAsia="it-IT"/>
          <w14:ligatures w14:val="none"/>
        </w:rPr>
        <w:t>essere su </w:t>
      </w:r>
      <w:r w:rsidRPr="00874E8B">
        <w:rPr>
          <w:rFonts w:ascii="Titillium Web" w:eastAsia="Times New Roman" w:hAnsi="Titillium Web" w:cs="Times New Roman"/>
          <w:b/>
          <w:bCs/>
          <w:color w:val="111827"/>
          <w:kern w:val="0"/>
          <w:sz w:val="27"/>
          <w:szCs w:val="27"/>
          <w:bdr w:val="single" w:sz="2" w:space="0" w:color="D3D7DE" w:frame="1"/>
          <w:lang w:eastAsia="it-IT"/>
          <w14:ligatures w14:val="none"/>
        </w:rPr>
        <w:t>carta libera</w:t>
      </w:r>
      <w:r w:rsidRPr="00874E8B">
        <w:rPr>
          <w:rFonts w:ascii="Titillium Web" w:eastAsia="Times New Roman" w:hAnsi="Titillium Web" w:cs="Times New Roman"/>
          <w:color w:val="374151"/>
          <w:kern w:val="0"/>
          <w:sz w:val="27"/>
          <w:szCs w:val="27"/>
          <w:lang w:eastAsia="it-IT"/>
          <w14:ligatures w14:val="none"/>
        </w:rPr>
        <w:t>;</w:t>
      </w:r>
    </w:p>
    <w:p w14:paraId="0BED8847" w14:textId="77777777" w:rsidR="00874E8B" w:rsidRPr="00874E8B" w:rsidRDefault="00874E8B" w:rsidP="00874E8B">
      <w:pPr>
        <w:numPr>
          <w:ilvl w:val="0"/>
          <w:numId w:val="2"/>
        </w:numPr>
        <w:pBdr>
          <w:top w:val="single" w:sz="2" w:space="0" w:color="D3D7DE"/>
          <w:left w:val="single" w:sz="2" w:space="0" w:color="D3D7DE"/>
          <w:bottom w:val="single" w:sz="2" w:space="0" w:color="D3D7DE"/>
          <w:right w:val="single" w:sz="2" w:space="0" w:color="D3D7DE"/>
        </w:pBdr>
        <w:shd w:val="clear" w:color="auto" w:fill="FFFFFF"/>
        <w:spacing w:before="300" w:after="300" w:line="240" w:lineRule="auto"/>
        <w:rPr>
          <w:rFonts w:ascii="Titillium Web" w:eastAsia="Times New Roman" w:hAnsi="Titillium Web" w:cs="Times New Roman"/>
          <w:color w:val="374151"/>
          <w:kern w:val="0"/>
          <w:sz w:val="27"/>
          <w:szCs w:val="27"/>
          <w:lang w:eastAsia="it-IT"/>
          <w14:ligatures w14:val="none"/>
        </w:rPr>
      </w:pPr>
      <w:r w:rsidRPr="00874E8B">
        <w:rPr>
          <w:rFonts w:ascii="Titillium Web" w:eastAsia="Times New Roman" w:hAnsi="Titillium Web" w:cs="Times New Roman"/>
          <w:color w:val="374151"/>
          <w:kern w:val="0"/>
          <w:sz w:val="27"/>
          <w:szCs w:val="27"/>
          <w:lang w:eastAsia="it-IT"/>
          <w14:ligatures w14:val="none"/>
        </w:rPr>
        <w:t>contenere l’</w:t>
      </w:r>
      <w:r w:rsidRPr="00874E8B">
        <w:rPr>
          <w:rFonts w:ascii="Titillium Web" w:eastAsia="Times New Roman" w:hAnsi="Titillium Web" w:cs="Times New Roman"/>
          <w:b/>
          <w:bCs/>
          <w:color w:val="111827"/>
          <w:kern w:val="0"/>
          <w:sz w:val="27"/>
          <w:szCs w:val="27"/>
          <w:bdr w:val="single" w:sz="2" w:space="0" w:color="D3D7DE" w:frame="1"/>
          <w:lang w:eastAsia="it-IT"/>
          <w14:ligatures w14:val="none"/>
        </w:rPr>
        <w:t>indirizzo estero per la spedizione del plico elettorale</w:t>
      </w:r>
      <w:r w:rsidRPr="00874E8B">
        <w:rPr>
          <w:rFonts w:ascii="Titillium Web" w:eastAsia="Times New Roman" w:hAnsi="Titillium Web" w:cs="Times New Roman"/>
          <w:color w:val="374151"/>
          <w:kern w:val="0"/>
          <w:sz w:val="27"/>
          <w:szCs w:val="27"/>
          <w:lang w:eastAsia="it-IT"/>
          <w14:ligatures w14:val="none"/>
        </w:rPr>
        <w:t>;</w:t>
      </w:r>
    </w:p>
    <w:p w14:paraId="3291CCC2" w14:textId="77777777" w:rsidR="00874E8B" w:rsidRPr="00874E8B" w:rsidRDefault="00874E8B" w:rsidP="00874E8B">
      <w:pPr>
        <w:numPr>
          <w:ilvl w:val="0"/>
          <w:numId w:val="2"/>
        </w:numPr>
        <w:pBdr>
          <w:top w:val="single" w:sz="2" w:space="0" w:color="D3D7DE"/>
          <w:left w:val="single" w:sz="2" w:space="0" w:color="D3D7DE"/>
          <w:bottom w:val="single" w:sz="2" w:space="0" w:color="D3D7DE"/>
          <w:right w:val="single" w:sz="2" w:space="0" w:color="D3D7DE"/>
        </w:pBdr>
        <w:shd w:val="clear" w:color="auto" w:fill="FFFFFF"/>
        <w:spacing w:before="300" w:after="300" w:line="240" w:lineRule="auto"/>
        <w:rPr>
          <w:rFonts w:ascii="Titillium Web" w:eastAsia="Times New Roman" w:hAnsi="Titillium Web" w:cs="Times New Roman"/>
          <w:color w:val="374151"/>
          <w:kern w:val="0"/>
          <w:sz w:val="27"/>
          <w:szCs w:val="27"/>
          <w:lang w:eastAsia="it-IT"/>
          <w14:ligatures w14:val="none"/>
        </w:rPr>
      </w:pPr>
      <w:r w:rsidRPr="00874E8B">
        <w:rPr>
          <w:rFonts w:ascii="Titillium Web" w:eastAsia="Times New Roman" w:hAnsi="Titillium Web" w:cs="Times New Roman"/>
          <w:color w:val="374151"/>
          <w:kern w:val="0"/>
          <w:sz w:val="27"/>
          <w:szCs w:val="27"/>
          <w:lang w:eastAsia="it-IT"/>
          <w14:ligatures w14:val="none"/>
        </w:rPr>
        <w:t>essere </w:t>
      </w:r>
      <w:r w:rsidRPr="00874E8B">
        <w:rPr>
          <w:rFonts w:ascii="Titillium Web" w:eastAsia="Times New Roman" w:hAnsi="Titillium Web" w:cs="Times New Roman"/>
          <w:b/>
          <w:bCs/>
          <w:color w:val="111827"/>
          <w:kern w:val="0"/>
          <w:sz w:val="27"/>
          <w:szCs w:val="27"/>
          <w:bdr w:val="single" w:sz="2" w:space="0" w:color="D3D7DE" w:frame="1"/>
          <w:lang w:eastAsia="it-IT"/>
          <w14:ligatures w14:val="none"/>
        </w:rPr>
        <w:t>accompagnata da copia di un documento di identità</w:t>
      </w:r>
      <w:r w:rsidRPr="00874E8B">
        <w:rPr>
          <w:rFonts w:ascii="Titillium Web" w:eastAsia="Times New Roman" w:hAnsi="Titillium Web" w:cs="Times New Roman"/>
          <w:color w:val="374151"/>
          <w:kern w:val="0"/>
          <w:sz w:val="27"/>
          <w:szCs w:val="27"/>
          <w:lang w:eastAsia="it-IT"/>
          <w14:ligatures w14:val="none"/>
        </w:rPr>
        <w:t>;</w:t>
      </w:r>
    </w:p>
    <w:p w14:paraId="1E68F476" w14:textId="77777777" w:rsidR="00874E8B" w:rsidRPr="00874E8B" w:rsidRDefault="00874E8B" w:rsidP="00874E8B">
      <w:pPr>
        <w:numPr>
          <w:ilvl w:val="0"/>
          <w:numId w:val="2"/>
        </w:numPr>
        <w:pBdr>
          <w:top w:val="single" w:sz="2" w:space="0" w:color="D3D7DE"/>
          <w:left w:val="single" w:sz="2" w:space="0" w:color="D3D7DE"/>
          <w:bottom w:val="single" w:sz="2" w:space="0" w:color="D3D7DE"/>
          <w:right w:val="single" w:sz="2" w:space="0" w:color="D3D7DE"/>
        </w:pBdr>
        <w:shd w:val="clear" w:color="auto" w:fill="FFFFFF"/>
        <w:spacing w:before="300" w:after="300" w:line="240" w:lineRule="auto"/>
        <w:rPr>
          <w:rFonts w:ascii="Titillium Web" w:eastAsia="Times New Roman" w:hAnsi="Titillium Web" w:cs="Times New Roman"/>
          <w:color w:val="374151"/>
          <w:kern w:val="0"/>
          <w:sz w:val="27"/>
          <w:szCs w:val="27"/>
          <w:lang w:eastAsia="it-IT"/>
          <w14:ligatures w14:val="none"/>
        </w:rPr>
      </w:pPr>
      <w:r w:rsidRPr="00874E8B">
        <w:rPr>
          <w:rFonts w:ascii="Titillium Web" w:eastAsia="Times New Roman" w:hAnsi="Titillium Web" w:cs="Times New Roman"/>
          <w:color w:val="374151"/>
          <w:kern w:val="0"/>
          <w:sz w:val="27"/>
          <w:szCs w:val="27"/>
          <w:lang w:eastAsia="it-IT"/>
          <w14:ligatures w14:val="none"/>
        </w:rPr>
        <w:t>includere una </w:t>
      </w:r>
      <w:r w:rsidRPr="00874E8B">
        <w:rPr>
          <w:rFonts w:ascii="Titillium Web" w:eastAsia="Times New Roman" w:hAnsi="Titillium Web" w:cs="Times New Roman"/>
          <w:b/>
          <w:bCs/>
          <w:color w:val="111827"/>
          <w:kern w:val="0"/>
          <w:sz w:val="27"/>
          <w:szCs w:val="27"/>
          <w:bdr w:val="single" w:sz="2" w:space="0" w:color="D3D7DE" w:frame="1"/>
          <w:lang w:eastAsia="it-IT"/>
          <w14:ligatures w14:val="none"/>
        </w:rPr>
        <w:t>dichiarazione sostitutiva</w:t>
      </w:r>
      <w:r w:rsidRPr="00874E8B">
        <w:rPr>
          <w:rFonts w:ascii="Titillium Web" w:eastAsia="Times New Roman" w:hAnsi="Titillium Web" w:cs="Times New Roman"/>
          <w:color w:val="374151"/>
          <w:kern w:val="0"/>
          <w:sz w:val="27"/>
          <w:szCs w:val="27"/>
          <w:lang w:eastAsia="it-IT"/>
          <w14:ligatures w14:val="none"/>
        </w:rPr>
        <w:t> attestante il possesso dei requisiti previsti, anche se al momento della domanda l’elettore non si trovi ancora all’estero, purché lo sia </w:t>
      </w:r>
      <w:r w:rsidRPr="00874E8B">
        <w:rPr>
          <w:rFonts w:ascii="Titillium Web" w:eastAsia="Times New Roman" w:hAnsi="Titillium Web" w:cs="Times New Roman"/>
          <w:b/>
          <w:bCs/>
          <w:color w:val="111827"/>
          <w:kern w:val="0"/>
          <w:sz w:val="27"/>
          <w:szCs w:val="27"/>
          <w:bdr w:val="single" w:sz="2" w:space="0" w:color="D3D7DE" w:frame="1"/>
          <w:lang w:eastAsia="it-IT"/>
          <w14:ligatures w14:val="none"/>
        </w:rPr>
        <w:t>per almeno tre mesi, comprensivi della data del voto</w:t>
      </w:r>
      <w:r w:rsidRPr="00874E8B">
        <w:rPr>
          <w:rFonts w:ascii="Titillium Web" w:eastAsia="Times New Roman" w:hAnsi="Titillium Web" w:cs="Times New Roman"/>
          <w:color w:val="374151"/>
          <w:kern w:val="0"/>
          <w:sz w:val="27"/>
          <w:szCs w:val="27"/>
          <w:lang w:eastAsia="it-IT"/>
          <w14:ligatures w14:val="none"/>
        </w:rPr>
        <w:t>.</w:t>
      </w:r>
    </w:p>
    <w:p w14:paraId="3B771F5F" w14:textId="77777777" w:rsidR="00874E8B" w:rsidRPr="00874E8B" w:rsidRDefault="00874E8B" w:rsidP="00874E8B">
      <w:pPr>
        <w:pBdr>
          <w:top w:val="single" w:sz="2" w:space="0" w:color="D3D7DE"/>
          <w:left w:val="single" w:sz="2" w:space="0" w:color="D3D7DE"/>
          <w:bottom w:val="single" w:sz="2" w:space="0" w:color="D3D7DE"/>
          <w:right w:val="single" w:sz="2" w:space="0" w:color="D3D7DE"/>
        </w:pBdr>
        <w:shd w:val="clear" w:color="auto" w:fill="FFFFFF"/>
        <w:spacing w:before="300" w:after="300" w:line="240" w:lineRule="auto"/>
        <w:rPr>
          <w:rFonts w:ascii="Titillium Web" w:eastAsia="Times New Roman" w:hAnsi="Titillium Web" w:cs="Times New Roman"/>
          <w:color w:val="374151"/>
          <w:kern w:val="0"/>
          <w:sz w:val="27"/>
          <w:szCs w:val="27"/>
          <w:lang w:eastAsia="it-IT"/>
          <w14:ligatures w14:val="none"/>
        </w:rPr>
      </w:pPr>
      <w:r w:rsidRPr="00874E8B">
        <w:rPr>
          <w:rFonts w:ascii="Titillium Web" w:eastAsia="Times New Roman" w:hAnsi="Titillium Web" w:cs="Times New Roman"/>
          <w:color w:val="1C2024"/>
          <w:kern w:val="0"/>
          <w:sz w:val="27"/>
          <w:szCs w:val="27"/>
          <w:bdr w:val="single" w:sz="2" w:space="0" w:color="D3D7DE" w:frame="1"/>
          <w:lang w:eastAsia="it-IT"/>
          <w14:ligatures w14:val="none"/>
        </w:rPr>
        <w:lastRenderedPageBreak/>
        <w:t>Con riferimento al presupposto temporale della presenza dell’elettore all’estero </w:t>
      </w:r>
      <w:r w:rsidRPr="00874E8B">
        <w:rPr>
          <w:rFonts w:ascii="Titillium Web" w:eastAsia="Times New Roman" w:hAnsi="Titillium Web" w:cs="Times New Roman"/>
          <w:b/>
          <w:bCs/>
          <w:color w:val="111827"/>
          <w:kern w:val="0"/>
          <w:sz w:val="27"/>
          <w:szCs w:val="27"/>
          <w:bdr w:val="single" w:sz="2" w:space="0" w:color="D3D7DE" w:frame="1"/>
          <w:lang w:eastAsia="it-IT"/>
          <w14:ligatures w14:val="none"/>
        </w:rPr>
        <w:t>per un periodo minimo di almeno tre mesi</w:t>
      </w:r>
      <w:r w:rsidRPr="00874E8B">
        <w:rPr>
          <w:rFonts w:ascii="Titillium Web" w:eastAsia="Times New Roman" w:hAnsi="Titillium Web" w:cs="Times New Roman"/>
          <w:color w:val="1C2024"/>
          <w:kern w:val="0"/>
          <w:sz w:val="27"/>
          <w:szCs w:val="27"/>
          <w:bdr w:val="single" w:sz="2" w:space="0" w:color="D3D7DE" w:frame="1"/>
          <w:lang w:eastAsia="it-IT"/>
          <w14:ligatures w14:val="none"/>
        </w:rPr>
        <w:t> nel quale ricade la data di svolgimento della consultazione, si ritiene che </w:t>
      </w:r>
      <w:r w:rsidRPr="00874E8B">
        <w:rPr>
          <w:rFonts w:ascii="Titillium Web" w:eastAsia="Times New Roman" w:hAnsi="Titillium Web" w:cs="Times New Roman"/>
          <w:b/>
          <w:bCs/>
          <w:color w:val="111827"/>
          <w:kern w:val="0"/>
          <w:sz w:val="27"/>
          <w:szCs w:val="27"/>
          <w:bdr w:val="single" w:sz="2" w:space="0" w:color="D3D7DE" w:frame="1"/>
          <w:lang w:eastAsia="it-IT"/>
          <w14:ligatures w14:val="none"/>
        </w:rPr>
        <w:t>la relativa domanda debba ritenersi validamente prodotta ove si dichiari espressamente tale circostanza</w:t>
      </w:r>
      <w:r w:rsidRPr="00874E8B">
        <w:rPr>
          <w:rFonts w:ascii="Titillium Web" w:eastAsia="Times New Roman" w:hAnsi="Titillium Web" w:cs="Times New Roman"/>
          <w:color w:val="1C2024"/>
          <w:kern w:val="0"/>
          <w:sz w:val="27"/>
          <w:szCs w:val="27"/>
          <w:bdr w:val="single" w:sz="2" w:space="0" w:color="D3D7DE" w:frame="1"/>
          <w:lang w:eastAsia="it-IT"/>
          <w14:ligatures w14:val="none"/>
        </w:rPr>
        <w:t>, ed anche se l’interessato non si trovi all’estero al momento della domanda stessa, purché il periodo previsto e dichiarato di temporanea residenza comprenda la data stabilita per la votazione.</w:t>
      </w:r>
    </w:p>
    <w:p w14:paraId="63FB4472" w14:textId="77777777" w:rsidR="00874E8B" w:rsidRPr="00874E8B" w:rsidRDefault="00874E8B" w:rsidP="00874E8B">
      <w:pPr>
        <w:pBdr>
          <w:top w:val="single" w:sz="2" w:space="0" w:color="D3D7DE"/>
          <w:left w:val="single" w:sz="2" w:space="0" w:color="D3D7DE"/>
          <w:bottom w:val="single" w:sz="2" w:space="0" w:color="D3D7DE"/>
          <w:right w:val="single" w:sz="2" w:space="0" w:color="D3D7DE"/>
        </w:pBdr>
        <w:shd w:val="clear" w:color="auto" w:fill="FFFFFF"/>
        <w:spacing w:before="480" w:after="240" w:line="240" w:lineRule="auto"/>
        <w:outlineLvl w:val="1"/>
        <w:rPr>
          <w:rFonts w:ascii="Titillium Web" w:eastAsia="Times New Roman" w:hAnsi="Titillium Web" w:cs="Times New Roman"/>
          <w:b/>
          <w:bCs/>
          <w:color w:val="111827"/>
          <w:kern w:val="0"/>
          <w:sz w:val="41"/>
          <w:szCs w:val="41"/>
          <w:lang w:eastAsia="it-IT"/>
          <w14:ligatures w14:val="none"/>
        </w:rPr>
      </w:pPr>
      <w:r w:rsidRPr="00874E8B">
        <w:rPr>
          <w:rFonts w:ascii="Titillium Web" w:eastAsia="Times New Roman" w:hAnsi="Titillium Web" w:cs="Times New Roman"/>
          <w:b/>
          <w:bCs/>
          <w:color w:val="111827"/>
          <w:kern w:val="0"/>
          <w:sz w:val="41"/>
          <w:szCs w:val="41"/>
          <w:lang w:eastAsia="it-IT"/>
          <w14:ligatures w14:val="none"/>
        </w:rPr>
        <w:t>Il modello di opzione</w:t>
      </w:r>
    </w:p>
    <w:p w14:paraId="397DA773" w14:textId="77777777" w:rsidR="00874E8B" w:rsidRPr="00874E8B" w:rsidRDefault="00874E8B" w:rsidP="00874E8B">
      <w:pPr>
        <w:pBdr>
          <w:top w:val="single" w:sz="2" w:space="0" w:color="D3D7DE"/>
          <w:left w:val="single" w:sz="2" w:space="0" w:color="D3D7DE"/>
          <w:bottom w:val="single" w:sz="2" w:space="0" w:color="D3D7DE"/>
          <w:right w:val="single" w:sz="2" w:space="0" w:color="D3D7DE"/>
        </w:pBdr>
        <w:shd w:val="clear" w:color="auto" w:fill="FFFFFF"/>
        <w:spacing w:after="300" w:line="240" w:lineRule="auto"/>
        <w:rPr>
          <w:rFonts w:ascii="Titillium Web" w:eastAsia="Times New Roman" w:hAnsi="Titillium Web" w:cs="Times New Roman"/>
          <w:color w:val="374151"/>
          <w:kern w:val="0"/>
          <w:sz w:val="27"/>
          <w:szCs w:val="27"/>
          <w:lang w:eastAsia="it-IT"/>
          <w14:ligatures w14:val="none"/>
        </w:rPr>
      </w:pPr>
      <w:r w:rsidRPr="00874E8B">
        <w:rPr>
          <w:rFonts w:ascii="Titillium Web" w:eastAsia="Times New Roman" w:hAnsi="Titillium Web" w:cs="Times New Roman"/>
          <w:color w:val="374151"/>
          <w:kern w:val="0"/>
          <w:sz w:val="27"/>
          <w:szCs w:val="27"/>
          <w:lang w:eastAsia="it-IT"/>
          <w14:ligatures w14:val="none"/>
        </w:rPr>
        <w:t>Per permetterne la necessaria diffusione a vista con ogni mezzo ritenuto idoneo (tra cui, in ogni caso, il sito internet della Prefettura-UTG e quello di ogni comune), viene pubblicato in calce</w:t>
      </w:r>
      <w:r w:rsidRPr="00874E8B">
        <w:rPr>
          <w:rFonts w:ascii="Titillium Web" w:eastAsia="Times New Roman" w:hAnsi="Titillium Web" w:cs="Times New Roman"/>
          <w:b/>
          <w:bCs/>
          <w:color w:val="111827"/>
          <w:kern w:val="0"/>
          <w:sz w:val="27"/>
          <w:szCs w:val="27"/>
          <w:bdr w:val="single" w:sz="2" w:space="0" w:color="D3D7DE" w:frame="1"/>
          <w:lang w:eastAsia="it-IT"/>
          <w14:ligatures w14:val="none"/>
        </w:rPr>
        <w:t> </w:t>
      </w:r>
      <w:hyperlink r:id="rId7" w:tgtFrame="_blank" w:history="1">
        <w:r w:rsidRPr="00874E8B">
          <w:rPr>
            <w:rFonts w:ascii="Titillium Web" w:eastAsia="Times New Roman" w:hAnsi="Titillium Web" w:cs="Times New Roman"/>
            <w:b/>
            <w:bCs/>
            <w:color w:val="50A6ED"/>
            <w:kern w:val="0"/>
            <w:sz w:val="27"/>
            <w:szCs w:val="27"/>
            <w:u w:val="single"/>
            <w:bdr w:val="single" w:sz="2" w:space="0" w:color="D3D7DE" w:frame="1"/>
            <w:lang w:eastAsia="it-IT"/>
            <w14:ligatures w14:val="none"/>
          </w:rPr>
          <w:t>l’apposito</w:t>
        </w:r>
        <w:r w:rsidRPr="00874E8B">
          <w:rPr>
            <w:rFonts w:ascii="Titillium Web" w:eastAsia="Times New Roman" w:hAnsi="Titillium Web" w:cs="Times New Roman"/>
            <w:color w:val="50A6ED"/>
            <w:kern w:val="0"/>
            <w:sz w:val="27"/>
            <w:szCs w:val="27"/>
            <w:u w:val="single"/>
            <w:bdr w:val="single" w:sz="2" w:space="0" w:color="D3D7DE" w:frame="1"/>
            <w:lang w:eastAsia="it-IT"/>
            <w14:ligatures w14:val="none"/>
          </w:rPr>
          <w:t> </w:t>
        </w:r>
        <w:r w:rsidRPr="00874E8B">
          <w:rPr>
            <w:rFonts w:ascii="Titillium Web" w:eastAsia="Times New Roman" w:hAnsi="Titillium Web" w:cs="Times New Roman"/>
            <w:b/>
            <w:bCs/>
            <w:color w:val="50A6ED"/>
            <w:kern w:val="0"/>
            <w:sz w:val="27"/>
            <w:szCs w:val="27"/>
            <w:u w:val="single"/>
            <w:bdr w:val="single" w:sz="2" w:space="0" w:color="D3D7DE" w:frame="1"/>
            <w:lang w:eastAsia="it-IT"/>
            <w14:ligatures w14:val="none"/>
          </w:rPr>
          <w:t>modello di opzione</w:t>
        </w:r>
      </w:hyperlink>
      <w:r w:rsidRPr="00874E8B">
        <w:rPr>
          <w:rFonts w:ascii="Titillium Web" w:eastAsia="Times New Roman" w:hAnsi="Titillium Web" w:cs="Times New Roman"/>
          <w:b/>
          <w:bCs/>
          <w:color w:val="111827"/>
          <w:kern w:val="0"/>
          <w:sz w:val="27"/>
          <w:szCs w:val="27"/>
          <w:bdr w:val="single" w:sz="2" w:space="0" w:color="D3D7DE" w:frame="1"/>
          <w:lang w:eastAsia="it-IT"/>
          <w14:ligatures w14:val="none"/>
        </w:rPr>
        <w:t>, </w:t>
      </w:r>
      <w:r w:rsidRPr="00874E8B">
        <w:rPr>
          <w:rFonts w:ascii="Titillium Web" w:eastAsia="Times New Roman" w:hAnsi="Titillium Web" w:cs="Times New Roman"/>
          <w:color w:val="374151"/>
          <w:kern w:val="0"/>
          <w:sz w:val="27"/>
          <w:szCs w:val="27"/>
          <w:lang w:eastAsia="it-IT"/>
          <w14:ligatures w14:val="none"/>
        </w:rPr>
        <w:t>che potrebbe essere utilizzato dai suddetti elettori temporaneamente residenti all’estero che intendono ivi esprimere il voto per corrispondenza.</w:t>
      </w:r>
    </w:p>
    <w:p w14:paraId="248DBF0B" w14:textId="77777777" w:rsidR="00874E8B" w:rsidRPr="00874E8B" w:rsidRDefault="00874E8B" w:rsidP="00874E8B">
      <w:pPr>
        <w:pBdr>
          <w:top w:val="single" w:sz="2" w:space="0" w:color="D3D7DE"/>
          <w:left w:val="single" w:sz="2" w:space="0" w:color="D3D7DE"/>
          <w:bottom w:val="single" w:sz="2" w:space="0" w:color="D3D7DE"/>
          <w:right w:val="single" w:sz="2" w:space="0" w:color="D3D7DE"/>
        </w:pBdr>
        <w:shd w:val="clear" w:color="auto" w:fill="FFFFFF"/>
        <w:spacing w:before="300" w:after="300" w:line="240" w:lineRule="auto"/>
        <w:rPr>
          <w:rFonts w:ascii="Titillium Web" w:eastAsia="Times New Roman" w:hAnsi="Titillium Web" w:cs="Times New Roman"/>
          <w:color w:val="374151"/>
          <w:kern w:val="0"/>
          <w:sz w:val="27"/>
          <w:szCs w:val="27"/>
          <w:lang w:eastAsia="it-IT"/>
          <w14:ligatures w14:val="none"/>
        </w:rPr>
      </w:pPr>
      <w:r w:rsidRPr="00874E8B">
        <w:rPr>
          <w:rFonts w:ascii="Titillium Web" w:eastAsia="Times New Roman" w:hAnsi="Titillium Web" w:cs="Times New Roman"/>
          <w:color w:val="374151"/>
          <w:kern w:val="0"/>
          <w:sz w:val="27"/>
          <w:szCs w:val="27"/>
          <w:lang w:eastAsia="it-IT"/>
          <w14:ligatures w14:val="none"/>
        </w:rPr>
        <w:t>Tale modello – in formato PDF editabile con alcuni campi resi obbligatori – è formulato in modo da poter essere utilizzato da tutti i temporanei all’estero aventi diritto al voto per corrispondenza, ivi compresi gli elettori di cui ai commi 5 e 6 del citato art. 4-bis.</w:t>
      </w:r>
    </w:p>
    <w:p w14:paraId="6CE6E1C9" w14:textId="77777777" w:rsidR="00874E8B" w:rsidRPr="00874E8B" w:rsidRDefault="00874E8B" w:rsidP="00874E8B">
      <w:pPr>
        <w:pBdr>
          <w:top w:val="single" w:sz="2" w:space="0" w:color="D3D7DE"/>
          <w:left w:val="single" w:sz="2" w:space="0" w:color="D3D7DE"/>
          <w:bottom w:val="single" w:sz="2" w:space="0" w:color="D3D7DE"/>
          <w:right w:val="single" w:sz="2" w:space="0" w:color="D3D7DE"/>
        </w:pBdr>
        <w:shd w:val="clear" w:color="auto" w:fill="FFFFFF"/>
        <w:spacing w:before="300" w:after="300" w:line="240" w:lineRule="auto"/>
        <w:rPr>
          <w:rFonts w:ascii="Titillium Web" w:eastAsia="Times New Roman" w:hAnsi="Titillium Web" w:cs="Times New Roman"/>
          <w:color w:val="374151"/>
          <w:kern w:val="0"/>
          <w:sz w:val="27"/>
          <w:szCs w:val="27"/>
          <w:lang w:eastAsia="it-IT"/>
          <w14:ligatures w14:val="none"/>
        </w:rPr>
      </w:pPr>
      <w:r w:rsidRPr="00874E8B">
        <w:rPr>
          <w:rFonts w:ascii="Titillium Web" w:eastAsia="Times New Roman" w:hAnsi="Titillium Web" w:cs="Times New Roman"/>
          <w:color w:val="1C2024"/>
          <w:kern w:val="0"/>
          <w:sz w:val="27"/>
          <w:szCs w:val="27"/>
          <w:bdr w:val="single" w:sz="2" w:space="0" w:color="D3D7DE" w:frame="1"/>
          <w:lang w:eastAsia="it-IT"/>
          <w14:ligatures w14:val="none"/>
        </w:rPr>
        <w:t>Eventuali opzioni pervenute con un diverso modello sono comunque da considerarsi valide, purché siano conformi a quanto prescritto dal comma 2 del medesimo articolo 4-</w:t>
      </w:r>
      <w:r w:rsidRPr="00874E8B">
        <w:rPr>
          <w:rFonts w:ascii="Titillium Web" w:eastAsia="Times New Roman" w:hAnsi="Titillium Web" w:cs="Times New Roman"/>
          <w:color w:val="374151"/>
          <w:kern w:val="0"/>
          <w:sz w:val="27"/>
          <w:szCs w:val="27"/>
          <w:lang w:eastAsia="it-IT"/>
          <w14:ligatures w14:val="none"/>
        </w:rPr>
        <w:t>bis</w:t>
      </w:r>
      <w:r w:rsidRPr="00874E8B">
        <w:rPr>
          <w:rFonts w:ascii="Titillium Web" w:eastAsia="Times New Roman" w:hAnsi="Titillium Web" w:cs="Times New Roman"/>
          <w:color w:val="1C2024"/>
          <w:kern w:val="0"/>
          <w:sz w:val="27"/>
          <w:szCs w:val="27"/>
          <w:bdr w:val="single" w:sz="2" w:space="0" w:color="D3D7DE" w:frame="1"/>
          <w:lang w:eastAsia="it-IT"/>
          <w14:ligatures w14:val="none"/>
        </w:rPr>
        <w:t>.</w:t>
      </w:r>
    </w:p>
    <w:p w14:paraId="7070BF39" w14:textId="77777777" w:rsidR="00874E8B" w:rsidRPr="00874E8B" w:rsidRDefault="00874E8B" w:rsidP="00874E8B">
      <w:pPr>
        <w:pBdr>
          <w:top w:val="single" w:sz="2" w:space="0" w:color="D3D7DE"/>
          <w:left w:val="single" w:sz="2" w:space="0" w:color="D3D7DE"/>
          <w:bottom w:val="single" w:sz="2" w:space="0" w:color="D3D7DE"/>
          <w:right w:val="single" w:sz="2" w:space="0" w:color="D3D7DE"/>
        </w:pBdr>
        <w:shd w:val="clear" w:color="auto" w:fill="FFFFFF"/>
        <w:spacing w:before="300" w:after="300" w:line="240" w:lineRule="auto"/>
        <w:rPr>
          <w:rFonts w:ascii="Titillium Web" w:eastAsia="Times New Roman" w:hAnsi="Titillium Web" w:cs="Times New Roman"/>
          <w:color w:val="374151"/>
          <w:kern w:val="0"/>
          <w:sz w:val="27"/>
          <w:szCs w:val="27"/>
          <w:lang w:eastAsia="it-IT"/>
          <w14:ligatures w14:val="none"/>
        </w:rPr>
      </w:pPr>
      <w:r w:rsidRPr="00874E8B">
        <w:rPr>
          <w:rFonts w:ascii="Titillium Web" w:eastAsia="Times New Roman" w:hAnsi="Titillium Web" w:cs="Times New Roman"/>
          <w:color w:val="1C2024"/>
          <w:kern w:val="0"/>
          <w:sz w:val="27"/>
          <w:szCs w:val="27"/>
          <w:bdr w:val="single" w:sz="2" w:space="0" w:color="D3D7DE" w:frame="1"/>
          <w:lang w:eastAsia="it-IT"/>
          <w14:ligatures w14:val="none"/>
        </w:rPr>
        <w:t>NB - </w:t>
      </w:r>
      <w:r w:rsidRPr="00874E8B">
        <w:rPr>
          <w:rFonts w:ascii="Titillium Web" w:eastAsia="Times New Roman" w:hAnsi="Titillium Web" w:cs="Times New Roman"/>
          <w:color w:val="374151"/>
          <w:kern w:val="0"/>
          <w:sz w:val="27"/>
          <w:szCs w:val="27"/>
          <w:lang w:eastAsia="it-IT"/>
          <w14:ligatures w14:val="none"/>
        </w:rPr>
        <w:t>Il suddetto termine del </w:t>
      </w:r>
      <w:r w:rsidRPr="00874E8B">
        <w:rPr>
          <w:rFonts w:ascii="Titillium Web" w:eastAsia="Times New Roman" w:hAnsi="Titillium Web" w:cs="Times New Roman"/>
          <w:b/>
          <w:bCs/>
          <w:color w:val="111827"/>
          <w:kern w:val="0"/>
          <w:sz w:val="27"/>
          <w:szCs w:val="27"/>
          <w:bdr w:val="single" w:sz="2" w:space="0" w:color="D3D7DE" w:frame="1"/>
          <w:lang w:eastAsia="it-IT"/>
          <w14:ligatures w14:val="none"/>
        </w:rPr>
        <w:t>trentaduesimo giorno</w:t>
      </w:r>
      <w:r w:rsidRPr="00874E8B">
        <w:rPr>
          <w:rFonts w:ascii="Titillium Web" w:eastAsia="Times New Roman" w:hAnsi="Titillium Web" w:cs="Times New Roman"/>
          <w:color w:val="374151"/>
          <w:kern w:val="0"/>
          <w:sz w:val="27"/>
          <w:szCs w:val="27"/>
          <w:lang w:eastAsia="it-IT"/>
          <w14:ligatures w14:val="none"/>
        </w:rPr>
        <w:t> (7 maggio 2025) per le trasmissioni delle generalità degli elettori richiedenti dovrà essere rigorosamente osservato dai comuni, in quanto al relativo adempimento si correlano una serie di successivi passaggi procedurali aventi termini ristrettissimi.</w:t>
      </w:r>
    </w:p>
    <w:p w14:paraId="749B0E5D" w14:textId="77777777" w:rsidR="00C44B65" w:rsidRDefault="00C44B65"/>
    <w:sectPr w:rsidR="00C44B65">
      <w:pgSz w:w="11906" w:h="16838"/>
      <w:pgMar w:top="1417"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itillium Web">
    <w:charset w:val="00"/>
    <w:family w:val="auto"/>
    <w:pitch w:val="variable"/>
    <w:sig w:usb0="00000007" w:usb1="00000001" w:usb2="00000000" w:usb3="00000000" w:csb0="00000093"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CE003C"/>
    <w:multiLevelType w:val="multilevel"/>
    <w:tmpl w:val="43A0B4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319436DA"/>
    <w:multiLevelType w:val="multilevel"/>
    <w:tmpl w:val="FAAAD7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1994410993">
    <w:abstractNumId w:val="0"/>
  </w:num>
  <w:num w:numId="2" w16cid:durableId="204034819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283"/>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16975"/>
    <w:rsid w:val="00541D17"/>
    <w:rsid w:val="00816975"/>
    <w:rsid w:val="00874E8B"/>
    <w:rsid w:val="00C44B65"/>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F9B4551-70E7-4B26-AD5F-4EB3F854AA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it-I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paragraph" w:styleId="Titolo1">
    <w:name w:val="heading 1"/>
    <w:basedOn w:val="Normale"/>
    <w:next w:val="Normale"/>
    <w:link w:val="Titolo1Carattere"/>
    <w:uiPriority w:val="9"/>
    <w:qFormat/>
    <w:rsid w:val="00816975"/>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itolo2">
    <w:name w:val="heading 2"/>
    <w:basedOn w:val="Normale"/>
    <w:next w:val="Normale"/>
    <w:link w:val="Titolo2Carattere"/>
    <w:uiPriority w:val="9"/>
    <w:semiHidden/>
    <w:unhideWhenUsed/>
    <w:qFormat/>
    <w:rsid w:val="00816975"/>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itolo3">
    <w:name w:val="heading 3"/>
    <w:basedOn w:val="Normale"/>
    <w:next w:val="Normale"/>
    <w:link w:val="Titolo3Carattere"/>
    <w:uiPriority w:val="9"/>
    <w:semiHidden/>
    <w:unhideWhenUsed/>
    <w:qFormat/>
    <w:rsid w:val="00816975"/>
    <w:pPr>
      <w:keepNext/>
      <w:keepLines/>
      <w:spacing w:before="160" w:after="80"/>
      <w:outlineLvl w:val="2"/>
    </w:pPr>
    <w:rPr>
      <w:rFonts w:eastAsiaTheme="majorEastAsia" w:cstheme="majorBidi"/>
      <w:color w:val="0F4761" w:themeColor="accent1" w:themeShade="BF"/>
      <w:sz w:val="28"/>
      <w:szCs w:val="28"/>
    </w:rPr>
  </w:style>
  <w:style w:type="paragraph" w:styleId="Titolo4">
    <w:name w:val="heading 4"/>
    <w:basedOn w:val="Normale"/>
    <w:next w:val="Normale"/>
    <w:link w:val="Titolo4Carattere"/>
    <w:uiPriority w:val="9"/>
    <w:semiHidden/>
    <w:unhideWhenUsed/>
    <w:qFormat/>
    <w:rsid w:val="00816975"/>
    <w:pPr>
      <w:keepNext/>
      <w:keepLines/>
      <w:spacing w:before="80" w:after="40"/>
      <w:outlineLvl w:val="3"/>
    </w:pPr>
    <w:rPr>
      <w:rFonts w:eastAsiaTheme="majorEastAsia" w:cstheme="majorBidi"/>
      <w:i/>
      <w:iCs/>
      <w:color w:val="0F4761" w:themeColor="accent1" w:themeShade="BF"/>
    </w:rPr>
  </w:style>
  <w:style w:type="paragraph" w:styleId="Titolo5">
    <w:name w:val="heading 5"/>
    <w:basedOn w:val="Normale"/>
    <w:next w:val="Normale"/>
    <w:link w:val="Titolo5Carattere"/>
    <w:uiPriority w:val="9"/>
    <w:semiHidden/>
    <w:unhideWhenUsed/>
    <w:qFormat/>
    <w:rsid w:val="00816975"/>
    <w:pPr>
      <w:keepNext/>
      <w:keepLines/>
      <w:spacing w:before="80" w:after="40"/>
      <w:outlineLvl w:val="4"/>
    </w:pPr>
    <w:rPr>
      <w:rFonts w:eastAsiaTheme="majorEastAsia" w:cstheme="majorBidi"/>
      <w:color w:val="0F4761" w:themeColor="accent1" w:themeShade="BF"/>
    </w:rPr>
  </w:style>
  <w:style w:type="paragraph" w:styleId="Titolo6">
    <w:name w:val="heading 6"/>
    <w:basedOn w:val="Normale"/>
    <w:next w:val="Normale"/>
    <w:link w:val="Titolo6Carattere"/>
    <w:uiPriority w:val="9"/>
    <w:semiHidden/>
    <w:unhideWhenUsed/>
    <w:qFormat/>
    <w:rsid w:val="00816975"/>
    <w:pPr>
      <w:keepNext/>
      <w:keepLines/>
      <w:spacing w:before="40" w:after="0"/>
      <w:outlineLvl w:val="5"/>
    </w:pPr>
    <w:rPr>
      <w:rFonts w:eastAsiaTheme="majorEastAsia" w:cstheme="majorBidi"/>
      <w:i/>
      <w:iCs/>
      <w:color w:val="595959" w:themeColor="text1" w:themeTint="A6"/>
    </w:rPr>
  </w:style>
  <w:style w:type="paragraph" w:styleId="Titolo7">
    <w:name w:val="heading 7"/>
    <w:basedOn w:val="Normale"/>
    <w:next w:val="Normale"/>
    <w:link w:val="Titolo7Carattere"/>
    <w:uiPriority w:val="9"/>
    <w:semiHidden/>
    <w:unhideWhenUsed/>
    <w:qFormat/>
    <w:rsid w:val="00816975"/>
    <w:pPr>
      <w:keepNext/>
      <w:keepLines/>
      <w:spacing w:before="40" w:after="0"/>
      <w:outlineLvl w:val="6"/>
    </w:pPr>
    <w:rPr>
      <w:rFonts w:eastAsiaTheme="majorEastAsia" w:cstheme="majorBidi"/>
      <w:color w:val="595959" w:themeColor="text1" w:themeTint="A6"/>
    </w:rPr>
  </w:style>
  <w:style w:type="paragraph" w:styleId="Titolo8">
    <w:name w:val="heading 8"/>
    <w:basedOn w:val="Normale"/>
    <w:next w:val="Normale"/>
    <w:link w:val="Titolo8Carattere"/>
    <w:uiPriority w:val="9"/>
    <w:semiHidden/>
    <w:unhideWhenUsed/>
    <w:qFormat/>
    <w:rsid w:val="00816975"/>
    <w:pPr>
      <w:keepNext/>
      <w:keepLines/>
      <w:spacing w:after="0"/>
      <w:outlineLvl w:val="7"/>
    </w:pPr>
    <w:rPr>
      <w:rFonts w:eastAsiaTheme="majorEastAsia" w:cstheme="majorBidi"/>
      <w:i/>
      <w:iCs/>
      <w:color w:val="272727" w:themeColor="text1" w:themeTint="D8"/>
    </w:rPr>
  </w:style>
  <w:style w:type="paragraph" w:styleId="Titolo9">
    <w:name w:val="heading 9"/>
    <w:basedOn w:val="Normale"/>
    <w:next w:val="Normale"/>
    <w:link w:val="Titolo9Carattere"/>
    <w:uiPriority w:val="9"/>
    <w:semiHidden/>
    <w:unhideWhenUsed/>
    <w:qFormat/>
    <w:rsid w:val="00816975"/>
    <w:pPr>
      <w:keepNext/>
      <w:keepLines/>
      <w:spacing w:after="0"/>
      <w:outlineLvl w:val="8"/>
    </w:pPr>
    <w:rPr>
      <w:rFonts w:eastAsiaTheme="majorEastAsia" w:cstheme="majorBidi"/>
      <w:color w:val="272727" w:themeColor="text1" w:themeTint="D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816975"/>
    <w:rPr>
      <w:rFonts w:asciiTheme="majorHAnsi" w:eastAsiaTheme="majorEastAsia" w:hAnsiTheme="majorHAnsi" w:cstheme="majorBidi"/>
      <w:color w:val="0F4761" w:themeColor="accent1" w:themeShade="BF"/>
      <w:sz w:val="40"/>
      <w:szCs w:val="40"/>
    </w:rPr>
  </w:style>
  <w:style w:type="character" w:customStyle="1" w:styleId="Titolo2Carattere">
    <w:name w:val="Titolo 2 Carattere"/>
    <w:basedOn w:val="Carpredefinitoparagrafo"/>
    <w:link w:val="Titolo2"/>
    <w:uiPriority w:val="9"/>
    <w:semiHidden/>
    <w:rsid w:val="00816975"/>
    <w:rPr>
      <w:rFonts w:asciiTheme="majorHAnsi" w:eastAsiaTheme="majorEastAsia" w:hAnsiTheme="majorHAnsi" w:cstheme="majorBidi"/>
      <w:color w:val="0F4761" w:themeColor="accent1" w:themeShade="BF"/>
      <w:sz w:val="32"/>
      <w:szCs w:val="32"/>
    </w:rPr>
  </w:style>
  <w:style w:type="character" w:customStyle="1" w:styleId="Titolo3Carattere">
    <w:name w:val="Titolo 3 Carattere"/>
    <w:basedOn w:val="Carpredefinitoparagrafo"/>
    <w:link w:val="Titolo3"/>
    <w:uiPriority w:val="9"/>
    <w:semiHidden/>
    <w:rsid w:val="00816975"/>
    <w:rPr>
      <w:rFonts w:eastAsiaTheme="majorEastAsia" w:cstheme="majorBidi"/>
      <w:color w:val="0F4761" w:themeColor="accent1" w:themeShade="BF"/>
      <w:sz w:val="28"/>
      <w:szCs w:val="28"/>
    </w:rPr>
  </w:style>
  <w:style w:type="character" w:customStyle="1" w:styleId="Titolo4Carattere">
    <w:name w:val="Titolo 4 Carattere"/>
    <w:basedOn w:val="Carpredefinitoparagrafo"/>
    <w:link w:val="Titolo4"/>
    <w:uiPriority w:val="9"/>
    <w:semiHidden/>
    <w:rsid w:val="00816975"/>
    <w:rPr>
      <w:rFonts w:eastAsiaTheme="majorEastAsia" w:cstheme="majorBidi"/>
      <w:i/>
      <w:iCs/>
      <w:color w:val="0F4761" w:themeColor="accent1" w:themeShade="BF"/>
    </w:rPr>
  </w:style>
  <w:style w:type="character" w:customStyle="1" w:styleId="Titolo5Carattere">
    <w:name w:val="Titolo 5 Carattere"/>
    <w:basedOn w:val="Carpredefinitoparagrafo"/>
    <w:link w:val="Titolo5"/>
    <w:uiPriority w:val="9"/>
    <w:semiHidden/>
    <w:rsid w:val="00816975"/>
    <w:rPr>
      <w:rFonts w:eastAsiaTheme="majorEastAsia" w:cstheme="majorBidi"/>
      <w:color w:val="0F4761" w:themeColor="accent1" w:themeShade="BF"/>
    </w:rPr>
  </w:style>
  <w:style w:type="character" w:customStyle="1" w:styleId="Titolo6Carattere">
    <w:name w:val="Titolo 6 Carattere"/>
    <w:basedOn w:val="Carpredefinitoparagrafo"/>
    <w:link w:val="Titolo6"/>
    <w:uiPriority w:val="9"/>
    <w:semiHidden/>
    <w:rsid w:val="00816975"/>
    <w:rPr>
      <w:rFonts w:eastAsiaTheme="majorEastAsia" w:cstheme="majorBidi"/>
      <w:i/>
      <w:iCs/>
      <w:color w:val="595959" w:themeColor="text1" w:themeTint="A6"/>
    </w:rPr>
  </w:style>
  <w:style w:type="character" w:customStyle="1" w:styleId="Titolo7Carattere">
    <w:name w:val="Titolo 7 Carattere"/>
    <w:basedOn w:val="Carpredefinitoparagrafo"/>
    <w:link w:val="Titolo7"/>
    <w:uiPriority w:val="9"/>
    <w:semiHidden/>
    <w:rsid w:val="00816975"/>
    <w:rPr>
      <w:rFonts w:eastAsiaTheme="majorEastAsia" w:cstheme="majorBidi"/>
      <w:color w:val="595959" w:themeColor="text1" w:themeTint="A6"/>
    </w:rPr>
  </w:style>
  <w:style w:type="character" w:customStyle="1" w:styleId="Titolo8Carattere">
    <w:name w:val="Titolo 8 Carattere"/>
    <w:basedOn w:val="Carpredefinitoparagrafo"/>
    <w:link w:val="Titolo8"/>
    <w:uiPriority w:val="9"/>
    <w:semiHidden/>
    <w:rsid w:val="00816975"/>
    <w:rPr>
      <w:rFonts w:eastAsiaTheme="majorEastAsia" w:cstheme="majorBidi"/>
      <w:i/>
      <w:iCs/>
      <w:color w:val="272727" w:themeColor="text1" w:themeTint="D8"/>
    </w:rPr>
  </w:style>
  <w:style w:type="character" w:customStyle="1" w:styleId="Titolo9Carattere">
    <w:name w:val="Titolo 9 Carattere"/>
    <w:basedOn w:val="Carpredefinitoparagrafo"/>
    <w:link w:val="Titolo9"/>
    <w:uiPriority w:val="9"/>
    <w:semiHidden/>
    <w:rsid w:val="00816975"/>
    <w:rPr>
      <w:rFonts w:eastAsiaTheme="majorEastAsia" w:cstheme="majorBidi"/>
      <w:color w:val="272727" w:themeColor="text1" w:themeTint="D8"/>
    </w:rPr>
  </w:style>
  <w:style w:type="paragraph" w:styleId="Titolo">
    <w:name w:val="Title"/>
    <w:basedOn w:val="Normale"/>
    <w:next w:val="Normale"/>
    <w:link w:val="TitoloCarattere"/>
    <w:uiPriority w:val="10"/>
    <w:qFormat/>
    <w:rsid w:val="00816975"/>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oloCarattere">
    <w:name w:val="Titolo Carattere"/>
    <w:basedOn w:val="Carpredefinitoparagrafo"/>
    <w:link w:val="Titolo"/>
    <w:uiPriority w:val="10"/>
    <w:rsid w:val="00816975"/>
    <w:rPr>
      <w:rFonts w:asciiTheme="majorHAnsi" w:eastAsiaTheme="majorEastAsia" w:hAnsiTheme="majorHAnsi" w:cstheme="majorBidi"/>
      <w:spacing w:val="-10"/>
      <w:kern w:val="28"/>
      <w:sz w:val="56"/>
      <w:szCs w:val="56"/>
    </w:rPr>
  </w:style>
  <w:style w:type="paragraph" w:styleId="Sottotitolo">
    <w:name w:val="Subtitle"/>
    <w:basedOn w:val="Normale"/>
    <w:next w:val="Normale"/>
    <w:link w:val="SottotitoloCarattere"/>
    <w:uiPriority w:val="11"/>
    <w:qFormat/>
    <w:rsid w:val="00816975"/>
    <w:pPr>
      <w:numPr>
        <w:ilvl w:val="1"/>
      </w:numPr>
    </w:pPr>
    <w:rPr>
      <w:rFonts w:eastAsiaTheme="majorEastAsia" w:cstheme="majorBidi"/>
      <w:color w:val="595959" w:themeColor="text1" w:themeTint="A6"/>
      <w:spacing w:val="15"/>
      <w:sz w:val="28"/>
      <w:szCs w:val="28"/>
    </w:rPr>
  </w:style>
  <w:style w:type="character" w:customStyle="1" w:styleId="SottotitoloCarattere">
    <w:name w:val="Sottotitolo Carattere"/>
    <w:basedOn w:val="Carpredefinitoparagrafo"/>
    <w:link w:val="Sottotitolo"/>
    <w:uiPriority w:val="11"/>
    <w:rsid w:val="00816975"/>
    <w:rPr>
      <w:rFonts w:eastAsiaTheme="majorEastAsia" w:cstheme="majorBidi"/>
      <w:color w:val="595959" w:themeColor="text1" w:themeTint="A6"/>
      <w:spacing w:val="15"/>
      <w:sz w:val="28"/>
      <w:szCs w:val="28"/>
    </w:rPr>
  </w:style>
  <w:style w:type="paragraph" w:styleId="Citazione">
    <w:name w:val="Quote"/>
    <w:basedOn w:val="Normale"/>
    <w:next w:val="Normale"/>
    <w:link w:val="CitazioneCarattere"/>
    <w:uiPriority w:val="29"/>
    <w:qFormat/>
    <w:rsid w:val="00816975"/>
    <w:pPr>
      <w:spacing w:before="160"/>
      <w:jc w:val="center"/>
    </w:pPr>
    <w:rPr>
      <w:i/>
      <w:iCs/>
      <w:color w:val="404040" w:themeColor="text1" w:themeTint="BF"/>
    </w:rPr>
  </w:style>
  <w:style w:type="character" w:customStyle="1" w:styleId="CitazioneCarattere">
    <w:name w:val="Citazione Carattere"/>
    <w:basedOn w:val="Carpredefinitoparagrafo"/>
    <w:link w:val="Citazione"/>
    <w:uiPriority w:val="29"/>
    <w:rsid w:val="00816975"/>
    <w:rPr>
      <w:i/>
      <w:iCs/>
      <w:color w:val="404040" w:themeColor="text1" w:themeTint="BF"/>
    </w:rPr>
  </w:style>
  <w:style w:type="paragraph" w:styleId="Paragrafoelenco">
    <w:name w:val="List Paragraph"/>
    <w:basedOn w:val="Normale"/>
    <w:uiPriority w:val="34"/>
    <w:qFormat/>
    <w:rsid w:val="00816975"/>
    <w:pPr>
      <w:ind w:left="720"/>
      <w:contextualSpacing/>
    </w:pPr>
  </w:style>
  <w:style w:type="character" w:styleId="Enfasiintensa">
    <w:name w:val="Intense Emphasis"/>
    <w:basedOn w:val="Carpredefinitoparagrafo"/>
    <w:uiPriority w:val="21"/>
    <w:qFormat/>
    <w:rsid w:val="00816975"/>
    <w:rPr>
      <w:i/>
      <w:iCs/>
      <w:color w:val="0F4761" w:themeColor="accent1" w:themeShade="BF"/>
    </w:rPr>
  </w:style>
  <w:style w:type="paragraph" w:styleId="Citazioneintensa">
    <w:name w:val="Intense Quote"/>
    <w:basedOn w:val="Normale"/>
    <w:next w:val="Normale"/>
    <w:link w:val="CitazioneintensaCarattere"/>
    <w:uiPriority w:val="30"/>
    <w:qFormat/>
    <w:rsid w:val="00816975"/>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zioneintensaCarattere">
    <w:name w:val="Citazione intensa Carattere"/>
    <w:basedOn w:val="Carpredefinitoparagrafo"/>
    <w:link w:val="Citazioneintensa"/>
    <w:uiPriority w:val="30"/>
    <w:rsid w:val="00816975"/>
    <w:rPr>
      <w:i/>
      <w:iCs/>
      <w:color w:val="0F4761" w:themeColor="accent1" w:themeShade="BF"/>
    </w:rPr>
  </w:style>
  <w:style w:type="character" w:styleId="Riferimentointenso">
    <w:name w:val="Intense Reference"/>
    <w:basedOn w:val="Carpredefinitoparagrafo"/>
    <w:uiPriority w:val="32"/>
    <w:qFormat/>
    <w:rsid w:val="00816975"/>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93174378">
      <w:bodyDiv w:val="1"/>
      <w:marLeft w:val="0"/>
      <w:marRight w:val="0"/>
      <w:marTop w:val="0"/>
      <w:marBottom w:val="0"/>
      <w:divBdr>
        <w:top w:val="none" w:sz="0" w:space="0" w:color="auto"/>
        <w:left w:val="none" w:sz="0" w:space="0" w:color="auto"/>
        <w:bottom w:val="none" w:sz="0" w:space="0" w:color="auto"/>
        <w:right w:val="none" w:sz="0" w:space="0" w:color="auto"/>
      </w:divBdr>
      <w:divsChild>
        <w:div w:id="504327137">
          <w:marLeft w:val="0"/>
          <w:marRight w:val="0"/>
          <w:marTop w:val="0"/>
          <w:marBottom w:val="0"/>
          <w:divBdr>
            <w:top w:val="single" w:sz="2" w:space="0" w:color="D3D7DE"/>
            <w:left w:val="single" w:sz="2" w:space="0" w:color="D3D7DE"/>
            <w:bottom w:val="single" w:sz="2" w:space="0" w:color="D3D7DE"/>
            <w:right w:val="single" w:sz="2" w:space="0" w:color="D3D7DE"/>
          </w:divBdr>
          <w:divsChild>
            <w:div w:id="1109005467">
              <w:marLeft w:val="0"/>
              <w:marRight w:val="0"/>
              <w:marTop w:val="0"/>
              <w:marBottom w:val="0"/>
              <w:divBdr>
                <w:top w:val="single" w:sz="2" w:space="0" w:color="D3D7DE"/>
                <w:left w:val="single" w:sz="2" w:space="0" w:color="D3D7DE"/>
                <w:bottom w:val="single" w:sz="2" w:space="0" w:color="D3D7DE"/>
                <w:right w:val="single" w:sz="2" w:space="0" w:color="D3D7DE"/>
              </w:divBdr>
            </w:div>
            <w:div w:id="447235641">
              <w:marLeft w:val="0"/>
              <w:marRight w:val="0"/>
              <w:marTop w:val="0"/>
              <w:marBottom w:val="0"/>
              <w:divBdr>
                <w:top w:val="single" w:sz="2" w:space="0" w:color="D3D7DE"/>
                <w:left w:val="single" w:sz="2" w:space="0" w:color="D3D7DE"/>
                <w:bottom w:val="single" w:sz="2" w:space="0" w:color="D3D7DE"/>
                <w:right w:val="single" w:sz="2" w:space="0" w:color="D3D7DE"/>
              </w:divBdr>
              <w:divsChild>
                <w:div w:id="777213638">
                  <w:marLeft w:val="0"/>
                  <w:marRight w:val="0"/>
                  <w:marTop w:val="0"/>
                  <w:marBottom w:val="0"/>
                  <w:divBdr>
                    <w:top w:val="single" w:sz="2" w:space="0" w:color="D3D7DE"/>
                    <w:left w:val="single" w:sz="2" w:space="0" w:color="D3D7DE"/>
                    <w:bottom w:val="single" w:sz="2" w:space="0" w:color="D3D7DE"/>
                    <w:right w:val="single" w:sz="2" w:space="0" w:color="D3D7DE"/>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dait.interno.gov.it/documenti/referendum-2025-modello-opzione-temp-estero.pdf"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normattiva.it/uri-res/N2Ls?urn:nir:stato:2001;459~art4bis!vig" TargetMode="External"/><Relationship Id="rId5" Type="http://schemas.openxmlformats.org/officeDocument/2006/relationships/hyperlink" Target="https://dait.interno.gov.it/elezioni/notizie/referendum-2025-elettori-temporaneamente-residenti-allestero"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518</Words>
  <Characters>2957</Characters>
  <Application>Microsoft Office Word</Application>
  <DocSecurity>0</DocSecurity>
  <Lines>24</Lines>
  <Paragraphs>6</Paragraphs>
  <ScaleCrop>false</ScaleCrop>
  <Company/>
  <LinksUpToDate>false</LinksUpToDate>
  <CharactersWithSpaces>3469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ORNELLA DEIDDA</dc:creator>
  <cp:keywords/>
  <dc:description/>
  <cp:lastModifiedBy>ORNELLA DEIDDA</cp:lastModifiedBy>
  <cp:revision>2</cp:revision>
  <dcterms:created xsi:type="dcterms:W3CDTF">2025-04-15T07:02:00Z</dcterms:created>
  <dcterms:modified xsi:type="dcterms:W3CDTF">2025-04-15T07:02:00Z</dcterms:modified>
</cp:coreProperties>
</file>